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62AA2922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440902">
        <w:rPr>
          <w:sz w:val="26"/>
          <w:szCs w:val="26"/>
        </w:rPr>
        <w:t>April 8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1"/>
        <w:gridCol w:w="1213"/>
        <w:gridCol w:w="766"/>
        <w:gridCol w:w="2251"/>
        <w:gridCol w:w="985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045025">
        <w:tc>
          <w:tcPr>
            <w:tcW w:w="417" w:type="pct"/>
          </w:tcPr>
          <w:p w14:paraId="14B3E95F" w14:textId="64671363" w:rsidR="00FC207D" w:rsidRDefault="008A47A8" w:rsidP="00B8393C">
            <w:r>
              <w:t>3-11-22</w:t>
            </w:r>
          </w:p>
        </w:tc>
        <w:tc>
          <w:tcPr>
            <w:tcW w:w="432" w:type="pct"/>
          </w:tcPr>
          <w:p w14:paraId="550C9DE7" w14:textId="7AE946F7" w:rsidR="00FC207D" w:rsidRDefault="008A47A8" w:rsidP="00DA173D">
            <w:r>
              <w:t>Beth</w:t>
            </w:r>
          </w:p>
        </w:tc>
        <w:tc>
          <w:tcPr>
            <w:tcW w:w="2838" w:type="pct"/>
            <w:gridSpan w:val="4"/>
          </w:tcPr>
          <w:p w14:paraId="60129031" w14:textId="1544EC45" w:rsidR="00FC207D" w:rsidRDefault="008A47A8" w:rsidP="00CA0558">
            <w:r>
              <w:t>C</w:t>
            </w:r>
            <w:r w:rsidRPr="008A47A8">
              <w:t xml:space="preserve">heck with Marketing to inquire about </w:t>
            </w:r>
            <w:r>
              <w:t xml:space="preserve">ISP/ARC </w:t>
            </w:r>
            <w:r w:rsidRPr="008A47A8">
              <w:t>website activity</w:t>
            </w:r>
          </w:p>
        </w:tc>
        <w:tc>
          <w:tcPr>
            <w:tcW w:w="609" w:type="pct"/>
          </w:tcPr>
          <w:p w14:paraId="43328982" w14:textId="420E689E" w:rsidR="00FC207D" w:rsidRDefault="008A47A8" w:rsidP="00DA173D">
            <w:r>
              <w:t>Sue</w:t>
            </w:r>
          </w:p>
        </w:tc>
        <w:tc>
          <w:tcPr>
            <w:tcW w:w="704" w:type="pct"/>
          </w:tcPr>
          <w:p w14:paraId="04D214AD" w14:textId="05FB00A4" w:rsidR="00FC207D" w:rsidRDefault="008A47A8" w:rsidP="00DA173D">
            <w:r>
              <w:t>Spring Term</w:t>
            </w:r>
          </w:p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202B1245" w:rsidR="00B92945" w:rsidRPr="003B705C" w:rsidRDefault="00E557B2" w:rsidP="00DA173D">
            <w:r>
              <w:t>TBD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0D5277">
        <w:trPr>
          <w:trHeight w:val="602"/>
        </w:trPr>
        <w:tc>
          <w:tcPr>
            <w:tcW w:w="112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02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5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2F35EB">
        <w:trPr>
          <w:trHeight w:val="460"/>
        </w:trPr>
        <w:tc>
          <w:tcPr>
            <w:tcW w:w="112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02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5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7D4F84B3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281C75">
        <w:trPr>
          <w:trHeight w:val="739"/>
        </w:trPr>
        <w:tc>
          <w:tcPr>
            <w:tcW w:w="1122" w:type="pct"/>
            <w:gridSpan w:val="3"/>
          </w:tcPr>
          <w:p w14:paraId="4EA7FB30" w14:textId="1E2714D0" w:rsidR="009111AA" w:rsidRPr="009111AA" w:rsidRDefault="005E1953" w:rsidP="009111AA">
            <w:pPr>
              <w:ind w:left="161"/>
              <w:rPr>
                <w:b/>
              </w:rPr>
            </w:pPr>
            <w:r>
              <w:rPr>
                <w:b/>
              </w:rPr>
              <w:t xml:space="preserve">College </w:t>
            </w:r>
            <w:r w:rsidR="009111AA" w:rsidRPr="009111AA">
              <w:rPr>
                <w:b/>
              </w:rPr>
              <w:t>Council Feedback</w:t>
            </w:r>
          </w:p>
        </w:tc>
        <w:tc>
          <w:tcPr>
            <w:tcW w:w="802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51" w:type="pct"/>
          </w:tcPr>
          <w:p w14:paraId="755CF129" w14:textId="4D2AC835" w:rsidR="009111AA" w:rsidRDefault="00D63921" w:rsidP="009111AA">
            <w:r>
              <w:t>5</w:t>
            </w:r>
            <w:r w:rsidR="00126926">
              <w:t xml:space="preserve"> min</w:t>
            </w:r>
          </w:p>
        </w:tc>
        <w:tc>
          <w:tcPr>
            <w:tcW w:w="2725" w:type="pct"/>
            <w:gridSpan w:val="3"/>
          </w:tcPr>
          <w:p w14:paraId="4278BFD1" w14:textId="2D63985B" w:rsidR="005E1953" w:rsidRDefault="005E1953" w:rsidP="005E1953">
            <w:pPr>
              <w:ind w:left="166"/>
              <w:rPr>
                <w:color w:val="212121"/>
              </w:rPr>
            </w:pPr>
            <w:r w:rsidRPr="005E1953">
              <w:rPr>
                <w:color w:val="212121"/>
              </w:rPr>
              <w:t>ISP 195 Study Away Policy</w:t>
            </w:r>
            <w:r>
              <w:rPr>
                <w:color w:val="212121"/>
              </w:rPr>
              <w:t xml:space="preserve"> – First Read</w:t>
            </w:r>
          </w:p>
          <w:p w14:paraId="099CB3D3" w14:textId="2A44ED86" w:rsidR="00233A22" w:rsidRDefault="005E1953" w:rsidP="005E1953">
            <w:pPr>
              <w:ind w:left="166"/>
              <w:rPr>
                <w:color w:val="212121"/>
              </w:rPr>
            </w:pPr>
            <w:r w:rsidRPr="005E1953">
              <w:rPr>
                <w:color w:val="212121"/>
              </w:rPr>
              <w:t>ISP 350 Credit Hour Policy</w:t>
            </w:r>
            <w:r>
              <w:rPr>
                <w:color w:val="212121"/>
              </w:rPr>
              <w:t xml:space="preserve"> </w:t>
            </w:r>
            <w:r w:rsidR="00F5747B">
              <w:rPr>
                <w:color w:val="212121"/>
              </w:rPr>
              <w:t xml:space="preserve">– </w:t>
            </w:r>
            <w:r>
              <w:rPr>
                <w:color w:val="212121"/>
              </w:rPr>
              <w:t>First</w:t>
            </w:r>
            <w:r w:rsidR="00F5747B">
              <w:rPr>
                <w:color w:val="212121"/>
              </w:rPr>
              <w:t xml:space="preserve"> Read</w:t>
            </w:r>
          </w:p>
        </w:tc>
      </w:tr>
      <w:tr w:rsidR="00EB5264" w14:paraId="1D546439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02" w:type="pct"/>
          </w:tcPr>
          <w:p w14:paraId="055B3FDC" w14:textId="1C5D13A2" w:rsidR="00EB5264" w:rsidRDefault="00EB5264" w:rsidP="00CA2171">
            <w:pPr>
              <w:ind w:left="163"/>
            </w:pPr>
            <w:r>
              <w:t>Jennifer</w:t>
            </w:r>
          </w:p>
        </w:tc>
        <w:tc>
          <w:tcPr>
            <w:tcW w:w="351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7D104C75" w14:textId="77777777" w:rsidTr="00B60A2F">
        <w:trPr>
          <w:trHeight w:val="1720"/>
        </w:trPr>
        <w:tc>
          <w:tcPr>
            <w:tcW w:w="112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02" w:type="pct"/>
          </w:tcPr>
          <w:p w14:paraId="6A81EA14" w14:textId="77777777" w:rsidR="00281C75" w:rsidRPr="00281C75" w:rsidRDefault="00281C75" w:rsidP="00921B2B">
            <w:pPr>
              <w:ind w:left="163"/>
              <w:rPr>
                <w:sz w:val="6"/>
                <w:szCs w:val="6"/>
              </w:rPr>
            </w:pPr>
          </w:p>
          <w:p w14:paraId="3CD734DD" w14:textId="77777777" w:rsidR="00213A68" w:rsidRDefault="00213A68" w:rsidP="00921B2B">
            <w:pPr>
              <w:ind w:left="163"/>
            </w:pPr>
            <w:r>
              <w:t>S</w:t>
            </w:r>
            <w:r w:rsidR="00B93AA5">
              <w:t>harron</w:t>
            </w:r>
            <w:r>
              <w:t xml:space="preserve"> </w:t>
            </w:r>
          </w:p>
          <w:p w14:paraId="3E9798D1" w14:textId="77777777" w:rsidR="002F35EB" w:rsidRDefault="002F35EB" w:rsidP="00921B2B">
            <w:pPr>
              <w:ind w:left="163"/>
            </w:pPr>
          </w:p>
          <w:p w14:paraId="6E36E1DB" w14:textId="77777777" w:rsidR="002F35EB" w:rsidRDefault="002F35EB" w:rsidP="00921B2B">
            <w:pPr>
              <w:ind w:left="163"/>
            </w:pPr>
          </w:p>
          <w:p w14:paraId="06E74C43" w14:textId="77777777" w:rsidR="002F35EB" w:rsidRDefault="002F35EB" w:rsidP="00921B2B">
            <w:pPr>
              <w:ind w:left="163"/>
            </w:pPr>
            <w:r>
              <w:t>Sarah</w:t>
            </w:r>
          </w:p>
          <w:p w14:paraId="36F9A42A" w14:textId="77777777" w:rsidR="00B60A2F" w:rsidRDefault="00B60A2F" w:rsidP="00921B2B">
            <w:pPr>
              <w:ind w:left="163"/>
            </w:pPr>
          </w:p>
          <w:p w14:paraId="10D11CF1" w14:textId="1E1AA5A1" w:rsidR="00B60A2F" w:rsidRPr="00281C75" w:rsidRDefault="00B60A2F" w:rsidP="00921B2B">
            <w:pPr>
              <w:ind w:left="163"/>
            </w:pPr>
            <w:r>
              <w:t>Sue</w:t>
            </w:r>
          </w:p>
        </w:tc>
        <w:tc>
          <w:tcPr>
            <w:tcW w:w="351" w:type="pct"/>
          </w:tcPr>
          <w:p w14:paraId="0DBD92D7" w14:textId="77777777" w:rsidR="00312147" w:rsidRPr="00312147" w:rsidRDefault="00312147" w:rsidP="00281C75">
            <w:pPr>
              <w:rPr>
                <w:sz w:val="6"/>
                <w:szCs w:val="6"/>
              </w:rPr>
            </w:pPr>
          </w:p>
          <w:p w14:paraId="122A7E74" w14:textId="77777777" w:rsidR="00213A68" w:rsidRDefault="00213A68" w:rsidP="00281C75">
            <w:r>
              <w:t>10 min</w:t>
            </w:r>
          </w:p>
          <w:p w14:paraId="10651025" w14:textId="77777777" w:rsidR="002F35EB" w:rsidRDefault="002F35EB" w:rsidP="00281C75"/>
          <w:p w14:paraId="5A0D1C35" w14:textId="77777777" w:rsidR="002F35EB" w:rsidRDefault="002F35EB" w:rsidP="00281C75"/>
          <w:p w14:paraId="49123DF4" w14:textId="77777777" w:rsidR="002F35EB" w:rsidRDefault="002F35EB" w:rsidP="00281C75">
            <w:r>
              <w:t>10 min</w:t>
            </w:r>
          </w:p>
          <w:p w14:paraId="2BD61F99" w14:textId="77777777" w:rsidR="00B60A2F" w:rsidRDefault="00B60A2F" w:rsidP="00281C75"/>
          <w:p w14:paraId="415005CB" w14:textId="69F6C2E1" w:rsidR="00B60A2F" w:rsidRPr="00260D85" w:rsidRDefault="00B60A2F" w:rsidP="00281C75">
            <w:r>
              <w:t>10 min</w:t>
            </w:r>
          </w:p>
        </w:tc>
        <w:tc>
          <w:tcPr>
            <w:tcW w:w="2725" w:type="pct"/>
            <w:gridSpan w:val="3"/>
          </w:tcPr>
          <w:p w14:paraId="72F4F924" w14:textId="77777777" w:rsidR="00312147" w:rsidRPr="00312147" w:rsidRDefault="00312147" w:rsidP="00281C75">
            <w:pPr>
              <w:ind w:left="166"/>
              <w:rPr>
                <w:sz w:val="6"/>
                <w:szCs w:val="6"/>
              </w:rPr>
            </w:pPr>
          </w:p>
          <w:p w14:paraId="6C5FC8B1" w14:textId="52575247" w:rsidR="00450192" w:rsidRDefault="00B93AA5" w:rsidP="00B93AA5">
            <w:pPr>
              <w:ind w:left="166"/>
            </w:pPr>
            <w:r w:rsidRPr="00B93AA5">
              <w:t>ISP 160/</w:t>
            </w:r>
            <w:proofErr w:type="spellStart"/>
            <w:r w:rsidRPr="00B93AA5">
              <w:t>160A</w:t>
            </w:r>
            <w:proofErr w:type="spellEnd"/>
            <w:r w:rsidRPr="00B93AA5">
              <w:t xml:space="preserve"> Course Outlines and Course Syllabus Information </w:t>
            </w:r>
          </w:p>
          <w:p w14:paraId="7AFC4C46" w14:textId="0C9C5DD5" w:rsidR="00B93AA5" w:rsidRDefault="00B93AA5" w:rsidP="00496754">
            <w:pPr>
              <w:pStyle w:val="ListParagraph"/>
              <w:numPr>
                <w:ilvl w:val="0"/>
                <w:numId w:val="38"/>
              </w:numPr>
            </w:pPr>
            <w:r>
              <w:t>ISP 161 Course Creation, Edits, Inactivation, and Reactivation</w:t>
            </w:r>
          </w:p>
          <w:p w14:paraId="25DA6BD3" w14:textId="77777777" w:rsidR="002F35EB" w:rsidRDefault="002F35EB" w:rsidP="002F35EB"/>
          <w:p w14:paraId="45EB73EC" w14:textId="77777777" w:rsidR="00B93AA5" w:rsidRDefault="002F35EB" w:rsidP="002F35EB">
            <w:pPr>
              <w:ind w:left="166"/>
            </w:pPr>
            <w:r w:rsidRPr="002F35EB">
              <w:t>ISP 373 College Level Examination Program</w:t>
            </w:r>
          </w:p>
          <w:p w14:paraId="5ABD83E3" w14:textId="77777777" w:rsidR="00B60A2F" w:rsidRDefault="00B60A2F" w:rsidP="002F35EB">
            <w:pPr>
              <w:ind w:left="166"/>
            </w:pPr>
          </w:p>
          <w:p w14:paraId="7CD7C793" w14:textId="58BF17A2" w:rsidR="00B60A2F" w:rsidRPr="00FC0B73" w:rsidRDefault="00B60A2F" w:rsidP="002F35EB">
            <w:pPr>
              <w:ind w:left="166"/>
            </w:pPr>
            <w:r>
              <w:t>ISP Meeting Norms</w:t>
            </w:r>
          </w:p>
        </w:tc>
      </w:tr>
      <w:tr w:rsidR="000D05A9" w14:paraId="53725AFF" w14:textId="77777777" w:rsidTr="000043B4">
        <w:trPr>
          <w:trHeight w:val="1261"/>
        </w:trPr>
        <w:tc>
          <w:tcPr>
            <w:tcW w:w="1122" w:type="pct"/>
            <w:gridSpan w:val="3"/>
          </w:tcPr>
          <w:p w14:paraId="1339AB0D" w14:textId="559F1FCB" w:rsidR="000D05A9" w:rsidRDefault="000D05A9" w:rsidP="00CA2171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802" w:type="pct"/>
          </w:tcPr>
          <w:p w14:paraId="2663D011" w14:textId="5089C469" w:rsidR="000D05A9" w:rsidRPr="000043B4" w:rsidRDefault="000043B4" w:rsidP="00921B2B">
            <w:pPr>
              <w:ind w:left="163"/>
            </w:pPr>
            <w:r>
              <w:t>Sue</w:t>
            </w:r>
          </w:p>
        </w:tc>
        <w:tc>
          <w:tcPr>
            <w:tcW w:w="351" w:type="pct"/>
          </w:tcPr>
          <w:p w14:paraId="5E31D472" w14:textId="3D3CD824" w:rsidR="000D05A9" w:rsidRPr="000043B4" w:rsidRDefault="000043B4" w:rsidP="00281C75">
            <w:r>
              <w:t>10 min</w:t>
            </w:r>
          </w:p>
        </w:tc>
        <w:tc>
          <w:tcPr>
            <w:tcW w:w="2725" w:type="pct"/>
            <w:gridSpan w:val="3"/>
          </w:tcPr>
          <w:p w14:paraId="7F8D8D31" w14:textId="7CFA66D3" w:rsidR="000D05A9" w:rsidRDefault="000D05A9" w:rsidP="00281C75">
            <w:pPr>
              <w:ind w:left="166"/>
            </w:pPr>
            <w:r w:rsidRPr="00112C09">
              <w:t>Assign</w:t>
            </w:r>
            <w:r w:rsidR="000043B4">
              <w:t xml:space="preserve"> the outstanding standards from 2016</w:t>
            </w:r>
          </w:p>
          <w:p w14:paraId="2D47AD9B" w14:textId="77777777" w:rsidR="000043B4" w:rsidRPr="000043B4" w:rsidRDefault="000043B4" w:rsidP="00281C75">
            <w:pPr>
              <w:ind w:left="166"/>
              <w:rPr>
                <w:sz w:val="6"/>
                <w:szCs w:val="6"/>
              </w:rPr>
            </w:pPr>
          </w:p>
          <w:p w14:paraId="1DE41850" w14:textId="74EB5DBE" w:rsidR="000043B4" w:rsidRDefault="000043B4" w:rsidP="000043B4">
            <w:pPr>
              <w:ind w:left="166"/>
            </w:pPr>
            <w:r>
              <w:t xml:space="preserve">ISP 461 Registration and Transcript Restrictions </w:t>
            </w:r>
          </w:p>
          <w:p w14:paraId="528583BD" w14:textId="5F2357C3" w:rsidR="000043B4" w:rsidRDefault="000043B4" w:rsidP="000043B4">
            <w:pPr>
              <w:ind w:left="166"/>
            </w:pPr>
            <w:r>
              <w:t>ISP 470 Course Substitution or Waiver</w:t>
            </w:r>
          </w:p>
          <w:p w14:paraId="38B00310" w14:textId="352CD610" w:rsidR="000D05A9" w:rsidRPr="000043B4" w:rsidRDefault="000043B4" w:rsidP="000043B4">
            <w:pPr>
              <w:ind w:left="166"/>
            </w:pPr>
            <w:r>
              <w:t>ISP 180 Continuing Education Units (CEUs)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63"/>
        <w:gridCol w:w="2665"/>
        <w:gridCol w:w="2315"/>
        <w:gridCol w:w="3866"/>
        <w:gridCol w:w="1526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F35EB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612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207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36B80" w14:paraId="1CBABD0C" w14:textId="77777777" w:rsidTr="002F35EB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762B2C3" w14:textId="605EAE66" w:rsidR="00D36B80" w:rsidRDefault="00D36B80" w:rsidP="00D36B80">
            <w:pPr>
              <w:rPr>
                <w:noProof/>
              </w:rPr>
            </w:pPr>
            <w:r w:rsidRPr="00D36B80">
              <w:rPr>
                <w:noProof/>
              </w:rPr>
              <w:t>ISP 160</w:t>
            </w:r>
            <w:r>
              <w:rPr>
                <w:noProof/>
              </w:rPr>
              <w:t>/160A</w:t>
            </w:r>
            <w:r w:rsidRPr="00D36B80">
              <w:rPr>
                <w:noProof/>
              </w:rPr>
              <w:t xml:space="preserve"> Course Outlines and Course Syllabus Information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6103055F" w14:textId="5D23315B" w:rsidR="00D36B80" w:rsidRDefault="0064698E" w:rsidP="00415263">
            <w:r w:rsidRPr="0064698E">
              <w:t xml:space="preserve">Sharon and the subcommittee team will continue to review the course outline/gen ed discussion and exam the course approval process.  </w:t>
            </w:r>
            <w:r w:rsidR="00496754">
              <w:t xml:space="preserve">Currently, the subcommittee is thinking about adding </w:t>
            </w:r>
            <w:r w:rsidR="00415263">
              <w:lastRenderedPageBreak/>
              <w:t xml:space="preserve">new language to ISP 161 </w:t>
            </w:r>
            <w:r w:rsidR="00415263" w:rsidRPr="00415263">
              <w:t>Course Creation, Edits, Inactivation, and Reactivation</w:t>
            </w:r>
            <w:r w:rsidR="00415263"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BF1F7C2" w14:textId="0D6E1F97" w:rsidR="00D36B80" w:rsidRDefault="00496754" w:rsidP="00D36B80">
            <w:r>
              <w:lastRenderedPageBreak/>
              <w:t>April 8</w:t>
            </w:r>
          </w:p>
        </w:tc>
      </w:tr>
      <w:tr w:rsidR="00D36B80" w14:paraId="7AC6D0C2" w14:textId="77777777" w:rsidTr="002F35EB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CD9C305" w14:textId="35DA1A91" w:rsidR="00D36B80" w:rsidRDefault="00D36B80" w:rsidP="00D36B80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 Academic Honesty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91B420E" w14:textId="7C8E6ED6" w:rsidR="00D36B80" w:rsidRPr="009A0E5A" w:rsidRDefault="00D36B80" w:rsidP="00D36B80">
            <w:pPr>
              <w:jc w:val="center"/>
            </w:pPr>
            <w:r w:rsidRPr="009A0E5A">
              <w:t>Sue</w:t>
            </w:r>
            <w:r w:rsidR="008B28B4">
              <w:t>/</w:t>
            </w:r>
            <w:r w:rsidR="0064698E">
              <w:t>Jen/</w:t>
            </w:r>
            <w:r w:rsidR="008B28B4">
              <w:t>Sharon/Russ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45C1BF25" w14:textId="7131D290" w:rsidR="00D36B80" w:rsidRPr="00D26A4F" w:rsidRDefault="00415263" w:rsidP="00D36B80">
            <w:r>
              <w:t xml:space="preserve">The subcommittee will </w:t>
            </w:r>
            <w:r w:rsidR="00D63921">
              <w:t xml:space="preserve">pull out the </w:t>
            </w:r>
            <w:r w:rsidR="008B28B4">
              <w:t xml:space="preserve">procedure language </w:t>
            </w:r>
            <w:r w:rsidR="00D63921">
              <w:t xml:space="preserve">from the policy to </w:t>
            </w:r>
            <w:r w:rsidR="008B28B4">
              <w:t xml:space="preserve">create a procedure.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4CEC0CA" w14:textId="7F3F9B6A" w:rsidR="00D36B80" w:rsidRDefault="0048462A" w:rsidP="00D36B80">
            <w:r>
              <w:t>Spring Term</w:t>
            </w:r>
          </w:p>
        </w:tc>
      </w:tr>
      <w:tr w:rsidR="00D63921" w14:paraId="6D1BDCE8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6BC0F3D3" w14:textId="33A8A393" w:rsidR="00D63921" w:rsidRPr="00254B41" w:rsidRDefault="00D63921" w:rsidP="00D63921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6456DAC3" w14:textId="77C8E870" w:rsidR="00D63921" w:rsidRPr="009A0E5A" w:rsidRDefault="00D63921" w:rsidP="00D63921">
            <w:pPr>
              <w:jc w:val="center"/>
            </w:pPr>
            <w:r>
              <w:t>Tory and Jen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73136771" w14:textId="5B8FB63B" w:rsidR="00D63921" w:rsidRDefault="00D63921" w:rsidP="00D63921">
            <w:r w:rsidRPr="008B28B4">
              <w:t xml:space="preserve">Policy is ready for </w:t>
            </w:r>
            <w:r w:rsidR="001A4CE3">
              <w:t xml:space="preserve">the second read at </w:t>
            </w:r>
            <w:r w:rsidRPr="008B28B4">
              <w:t xml:space="preserve">College Council </w:t>
            </w:r>
            <w:r w:rsidR="00415263">
              <w:t>o</w:t>
            </w:r>
            <w:r w:rsidRPr="008B28B4">
              <w:t xml:space="preserve">n </w:t>
            </w:r>
            <w:r w:rsidR="00415263">
              <w:t>April 15</w:t>
            </w:r>
            <w:r w:rsidRPr="008B28B4">
              <w:t>.</w:t>
            </w:r>
            <w:r>
              <w:t xml:space="preserve">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A745CE0" w14:textId="4D95680F" w:rsidR="00D63921" w:rsidRDefault="00D63921" w:rsidP="00D63921">
            <w:r>
              <w:t xml:space="preserve">April </w:t>
            </w:r>
            <w:r w:rsidR="00415263">
              <w:t>22</w:t>
            </w:r>
          </w:p>
        </w:tc>
      </w:tr>
      <w:tr w:rsidR="00D63921" w14:paraId="37069677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5657E76" w14:textId="09318F0D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61B15227" w14:textId="7F026484" w:rsidR="00D63921" w:rsidRPr="009A0E5A" w:rsidRDefault="00D63921" w:rsidP="00D63921">
            <w:pPr>
              <w:jc w:val="center"/>
            </w:pPr>
            <w:r w:rsidRPr="009A0E5A">
              <w:t>Jen/Patty/Cathy/Berri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6AA98179" w14:textId="78712E04" w:rsidR="00D63921" w:rsidRDefault="00D63921" w:rsidP="00D63921">
            <w:r>
              <w:t xml:space="preserve">Policy is ready for </w:t>
            </w:r>
            <w:r w:rsidR="001A4CE3">
              <w:t xml:space="preserve">the second read at </w:t>
            </w:r>
            <w:r>
              <w:t xml:space="preserve">College Council on </w:t>
            </w:r>
            <w:r w:rsidR="00415263">
              <w:t>April 15</w:t>
            </w:r>
            <w:r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3D900F6" w14:textId="2CEFECE1" w:rsidR="00D63921" w:rsidRPr="00DD7F3B" w:rsidRDefault="00D63921" w:rsidP="00D63921">
            <w:r>
              <w:t xml:space="preserve">April </w:t>
            </w:r>
            <w:r w:rsidR="00415263">
              <w:t>22</w:t>
            </w:r>
          </w:p>
        </w:tc>
      </w:tr>
      <w:tr w:rsidR="004F4295" w14:paraId="236F0892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0242B3D7" w14:textId="60998297" w:rsidR="004F4295" w:rsidRPr="00254B41" w:rsidRDefault="004F4295" w:rsidP="00D63921">
            <w:pPr>
              <w:rPr>
                <w:noProof/>
              </w:rPr>
            </w:pPr>
            <w:r>
              <w:rPr>
                <w:noProof/>
              </w:rPr>
              <w:t>ISP 373 College Level Examination Program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3F9E6AB" w14:textId="6D3367D5" w:rsidR="004F4295" w:rsidRPr="009A0E5A" w:rsidRDefault="004F4295" w:rsidP="00D63921">
            <w:pPr>
              <w:jc w:val="center"/>
            </w:pPr>
            <w:r>
              <w:t>Sarah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3513045E" w14:textId="3B3B5B8C" w:rsidR="004F4295" w:rsidRDefault="0064698E" w:rsidP="00D63921">
            <w:r w:rsidRPr="0064698E">
              <w:t xml:space="preserve">Sarah will </w:t>
            </w:r>
            <w:r w:rsidR="00415263">
              <w:t xml:space="preserve">come back to present her findings.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59B5740" w14:textId="0BCBFF07" w:rsidR="004F4295" w:rsidRDefault="00415263" w:rsidP="00D63921">
            <w:r>
              <w:t>April 8</w:t>
            </w:r>
          </w:p>
        </w:tc>
      </w:tr>
      <w:tr w:rsidR="00D63921" w14:paraId="099D8EF7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7D835205" w14:textId="64871E1E" w:rsidR="00D63921" w:rsidRPr="00254B41" w:rsidRDefault="00D63921" w:rsidP="00D63921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31EE83E0" w14:textId="790233C5" w:rsidR="00D63921" w:rsidRPr="00254B41" w:rsidRDefault="00D63921" w:rsidP="00D63921">
            <w:pPr>
              <w:jc w:val="center"/>
            </w:pPr>
            <w:r>
              <w:t>Chris and Jennifer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D63921" w:rsidRDefault="00D63921" w:rsidP="00D63921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63490A2" w14:textId="1856C2D4" w:rsidR="00D63921" w:rsidRPr="00DD7F3B" w:rsidRDefault="00D63921" w:rsidP="00D63921">
            <w:r w:rsidRPr="00260D85">
              <w:t>Spring Term</w:t>
            </w:r>
          </w:p>
        </w:tc>
      </w:tr>
      <w:tr w:rsidR="00D63921" w14:paraId="0FBB6053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AA86D62" w14:textId="4DAA6AA0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4A790512" w14:textId="683C8EBA" w:rsidR="00D63921" w:rsidRDefault="00D63921" w:rsidP="00D63921">
            <w:pPr>
              <w:jc w:val="center"/>
            </w:pPr>
            <w:r>
              <w:t xml:space="preserve">Chris/Dustin </w:t>
            </w:r>
            <w:r w:rsidR="002D0FA4">
              <w:t xml:space="preserve">Bare/ </w:t>
            </w:r>
            <w:r>
              <w:t>Tracey/Jackie/Josiah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1FC44D6C" w14:textId="42BAA893" w:rsidR="00D63921" w:rsidRDefault="00A25EDD" w:rsidP="00D63921">
            <w:r>
              <w:t xml:space="preserve">Chris will take back suggestions from the February 25 meeting and bring back a </w:t>
            </w:r>
            <w:r w:rsidR="001A4CE3">
              <w:t xml:space="preserve">new </w:t>
            </w:r>
            <w:r>
              <w:t xml:space="preserve">version.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8DADF75" w14:textId="0A035977" w:rsidR="00D63921" w:rsidRPr="00921B2B" w:rsidRDefault="001A4CE3" w:rsidP="00D63921">
            <w:r>
              <w:t>April 22</w:t>
            </w:r>
          </w:p>
        </w:tc>
      </w:tr>
      <w:tr w:rsidR="001A4CE3" w14:paraId="2AD0C02A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29A9460F" w14:textId="4BFB6613" w:rsidR="001A4CE3" w:rsidRDefault="001A4CE3" w:rsidP="001A4CE3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DF16CB0" w14:textId="50D5B5E9" w:rsidR="001A4CE3" w:rsidRDefault="001A4CE3" w:rsidP="001A4CE3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11E38F1B" w14:textId="31B07AEB" w:rsidR="001A4CE3" w:rsidRDefault="001A4CE3" w:rsidP="001A4CE3">
            <w:r>
              <w:t xml:space="preserve">Create a new ISP for the college.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1F5B940" w14:textId="0788C883" w:rsidR="001A4CE3" w:rsidRDefault="001A4CE3" w:rsidP="001A4CE3">
            <w:r>
              <w:t>Spring Term</w:t>
            </w:r>
          </w:p>
        </w:tc>
      </w:tr>
      <w:tr w:rsidR="00D821A6" w14:paraId="139C8503" w14:textId="77777777" w:rsidTr="002F35EB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D58C06C" w14:textId="3EA64C10" w:rsidR="00D821A6" w:rsidRPr="00F66650" w:rsidRDefault="00D821A6" w:rsidP="001A4CE3">
            <w:pPr>
              <w:rPr>
                <w:noProof/>
              </w:rPr>
            </w:pPr>
            <w:r w:rsidRPr="00F66650">
              <w:rPr>
                <w:noProof/>
              </w:rPr>
              <w:t>ISP Goals</w:t>
            </w:r>
            <w:r w:rsidR="002F35EB">
              <w:rPr>
                <w:noProof/>
              </w:rPr>
              <w:t xml:space="preserve"> – Notifing Faculty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8EA5B9B" w14:textId="4064A39B" w:rsidR="00F66650" w:rsidRDefault="00F874F6" w:rsidP="001A4CE3">
            <w:pPr>
              <w:jc w:val="center"/>
            </w:pPr>
            <w:r w:rsidRPr="00F66650">
              <w:t xml:space="preserve">Tory/Russ </w:t>
            </w:r>
          </w:p>
          <w:p w14:paraId="6FE54095" w14:textId="77777777" w:rsidR="00CB5CF7" w:rsidRPr="00F66650" w:rsidRDefault="00CB5CF7" w:rsidP="001A4CE3">
            <w:pPr>
              <w:jc w:val="center"/>
            </w:pPr>
          </w:p>
          <w:p w14:paraId="4984BAF0" w14:textId="284D76DA" w:rsidR="00F66650" w:rsidRPr="00CB5CF7" w:rsidRDefault="00F66650" w:rsidP="001A4CE3">
            <w:pPr>
              <w:jc w:val="center"/>
              <w:rPr>
                <w:sz w:val="6"/>
                <w:szCs w:val="6"/>
              </w:rPr>
            </w:pPr>
          </w:p>
          <w:p w14:paraId="2D7A5F1D" w14:textId="48EB8BB7" w:rsidR="00F66650" w:rsidRDefault="00F66650" w:rsidP="001A4CE3">
            <w:pPr>
              <w:jc w:val="center"/>
            </w:pPr>
            <w:r>
              <w:t>Sue</w:t>
            </w:r>
          </w:p>
          <w:p w14:paraId="0F5BC16D" w14:textId="77777777" w:rsidR="00CB5CF7" w:rsidRDefault="00CB5CF7" w:rsidP="001A4CE3">
            <w:pPr>
              <w:jc w:val="center"/>
            </w:pPr>
            <w:bookmarkStart w:id="0" w:name="_GoBack"/>
            <w:bookmarkEnd w:id="0"/>
          </w:p>
          <w:p w14:paraId="66F90F5A" w14:textId="77777777" w:rsidR="00F66650" w:rsidRPr="00CB5CF7" w:rsidRDefault="00F66650" w:rsidP="001A4CE3">
            <w:pPr>
              <w:jc w:val="center"/>
              <w:rPr>
                <w:sz w:val="6"/>
                <w:szCs w:val="6"/>
              </w:rPr>
            </w:pPr>
          </w:p>
          <w:p w14:paraId="30DAC4A7" w14:textId="6C45B620" w:rsidR="00D821A6" w:rsidRPr="00F66650" w:rsidRDefault="00D821A6" w:rsidP="001A4CE3">
            <w:pPr>
              <w:jc w:val="center"/>
            </w:pPr>
            <w:r w:rsidRPr="00F66650">
              <w:t>Beth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  <w:vAlign w:val="center"/>
          </w:tcPr>
          <w:p w14:paraId="51B95075" w14:textId="068C0E0D" w:rsidR="00F66650" w:rsidRPr="00F66650" w:rsidRDefault="00F66650" w:rsidP="00F66650">
            <w:r w:rsidRPr="00F66650">
              <w:t xml:space="preserve">Create a master document to help communicate the policies and procedures of the college.  </w:t>
            </w:r>
          </w:p>
          <w:p w14:paraId="4D5080A7" w14:textId="77777777" w:rsidR="00F66650" w:rsidRPr="00CB5CF7" w:rsidRDefault="00F66650" w:rsidP="00F66650">
            <w:pPr>
              <w:rPr>
                <w:sz w:val="6"/>
                <w:szCs w:val="6"/>
              </w:rPr>
            </w:pPr>
          </w:p>
          <w:p w14:paraId="68911032" w14:textId="2D81BB3D" w:rsidR="002F35EB" w:rsidRDefault="002F35EB" w:rsidP="00F66650">
            <w:r>
              <w:t xml:space="preserve">Once the master document has been created, </w:t>
            </w:r>
            <w:r w:rsidR="00F66650" w:rsidRPr="00F66650">
              <w:t xml:space="preserve">Sue will </w:t>
            </w:r>
            <w:r>
              <w:t xml:space="preserve">follow up </w:t>
            </w:r>
            <w:r w:rsidR="00F66650" w:rsidRPr="00F66650">
              <w:t xml:space="preserve">to Katrina Boone to ask about </w:t>
            </w:r>
            <w:r w:rsidR="00F66650">
              <w:t xml:space="preserve">an ISP </w:t>
            </w:r>
            <w:r w:rsidR="00F66650" w:rsidRPr="00F66650">
              <w:t xml:space="preserve">addition </w:t>
            </w:r>
            <w:r w:rsidR="00F66650">
              <w:t xml:space="preserve">to </w:t>
            </w:r>
            <w:r w:rsidR="00F66650" w:rsidRPr="00F66650">
              <w:t xml:space="preserve">the document, Best Practices and Resources for Online Learning.  </w:t>
            </w:r>
          </w:p>
          <w:p w14:paraId="48A5D6B9" w14:textId="77777777" w:rsidR="00F66650" w:rsidRPr="00CB5CF7" w:rsidRDefault="00F66650" w:rsidP="00F66650">
            <w:pPr>
              <w:rPr>
                <w:sz w:val="6"/>
                <w:szCs w:val="6"/>
              </w:rPr>
            </w:pPr>
          </w:p>
          <w:p w14:paraId="53B71734" w14:textId="4F1DA337" w:rsidR="00F66650" w:rsidRPr="00F66650" w:rsidRDefault="002F35EB" w:rsidP="00F66650">
            <w:r>
              <w:t>Send an a</w:t>
            </w:r>
            <w:r w:rsidR="00F66650">
              <w:t>nnual email to Associations</w:t>
            </w:r>
            <w:r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2020C3E" w14:textId="77541F31" w:rsidR="00D821A6" w:rsidRPr="00921B2B" w:rsidRDefault="00D821A6" w:rsidP="001A4CE3"/>
        </w:tc>
      </w:tr>
      <w:tr w:rsidR="001A4CE3" w:rsidRPr="00A10502" w14:paraId="03D7C3F0" w14:textId="77777777" w:rsidTr="002F35EB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612" w:type="dxa"/>
            <w:shd w:val="clear" w:color="auto" w:fill="C41F32"/>
          </w:tcPr>
          <w:p w14:paraId="2431B0DF" w14:textId="6DB409C1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327" w:type="dxa"/>
            <w:shd w:val="clear" w:color="auto" w:fill="C41F32"/>
          </w:tcPr>
          <w:p w14:paraId="215B1DA0" w14:textId="77777777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1A4CE3" w:rsidRPr="00A10502" w:rsidRDefault="001A4CE3" w:rsidP="001A4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A4CE3" w:rsidRPr="00BD5CAB" w14:paraId="224AAC33" w14:textId="77777777" w:rsidTr="002F35EB">
        <w:trPr>
          <w:trHeight w:val="334"/>
        </w:trPr>
        <w:tc>
          <w:tcPr>
            <w:tcW w:w="3688" w:type="dxa"/>
            <w:vAlign w:val="center"/>
          </w:tcPr>
          <w:p w14:paraId="6B5FF5F9" w14:textId="77777777" w:rsidR="001A4CE3" w:rsidRDefault="001A4CE3" w:rsidP="001A4CE3">
            <w:pPr>
              <w:tabs>
                <w:tab w:val="center" w:pos="2259"/>
                <w:tab w:val="left" w:pos="3555"/>
              </w:tabs>
              <w:jc w:val="center"/>
            </w:pPr>
            <w:r>
              <w:t>April 8 &amp; 22</w:t>
            </w:r>
          </w:p>
          <w:p w14:paraId="7F895E48" w14:textId="46292B43" w:rsidR="001A4CE3" w:rsidRPr="00417307" w:rsidRDefault="001A4CE3" w:rsidP="001A4CE3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612" w:type="dxa"/>
            <w:vAlign w:val="center"/>
          </w:tcPr>
          <w:p w14:paraId="53F2F5D4" w14:textId="1B9F1B30" w:rsidR="001A4CE3" w:rsidRPr="001C14ED" w:rsidRDefault="001A4CE3" w:rsidP="001A4CE3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327" w:type="dxa"/>
            <w:vAlign w:val="center"/>
          </w:tcPr>
          <w:p w14:paraId="2ACDA1A8" w14:textId="7D5035DD" w:rsidR="001A4CE3" w:rsidRPr="001C14ED" w:rsidRDefault="001A4CE3" w:rsidP="001A4CE3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1A4CE3" w:rsidRPr="001C14ED" w:rsidRDefault="001A4CE3" w:rsidP="001A4CE3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1" w:name="_Hlk84493685"/>
      <w:r>
        <w:t>Oct. 14, 2016</w:t>
      </w:r>
      <w:bookmarkEnd w:id="1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2" w:name="_Hlk84494252"/>
      <w:r w:rsidRPr="00593A00">
        <w:t>Feb. 14, 2017</w:t>
      </w:r>
      <w:bookmarkEnd w:id="2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A691" w14:textId="77777777" w:rsidR="00B764BE" w:rsidRDefault="00B764BE" w:rsidP="00B3679E">
      <w:r>
        <w:separator/>
      </w:r>
    </w:p>
  </w:endnote>
  <w:endnote w:type="continuationSeparator" w:id="0">
    <w:p w14:paraId="75B1D2B7" w14:textId="77777777" w:rsidR="00B764BE" w:rsidRDefault="00B764B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09A8C62A" w:rsidR="00E2557C" w:rsidRPr="00E2557C" w:rsidRDefault="000043B4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April 8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4DF1" w14:textId="77777777" w:rsidR="00B764BE" w:rsidRDefault="00B764BE" w:rsidP="00B3679E">
      <w:r>
        <w:separator/>
      </w:r>
    </w:p>
  </w:footnote>
  <w:footnote w:type="continuationSeparator" w:id="0">
    <w:p w14:paraId="3055D57B" w14:textId="77777777" w:rsidR="00B764BE" w:rsidRDefault="00B764B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06A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690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3D51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0902"/>
    <w:rsid w:val="004426DA"/>
    <w:rsid w:val="00442D95"/>
    <w:rsid w:val="00445745"/>
    <w:rsid w:val="00445908"/>
    <w:rsid w:val="0044630E"/>
    <w:rsid w:val="00446AD3"/>
    <w:rsid w:val="00447350"/>
    <w:rsid w:val="00450192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25E3"/>
    <w:rsid w:val="004E405B"/>
    <w:rsid w:val="004E445E"/>
    <w:rsid w:val="004E4D47"/>
    <w:rsid w:val="004E6BF6"/>
    <w:rsid w:val="004E7C95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195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C6A71"/>
    <w:rsid w:val="008D1204"/>
    <w:rsid w:val="008D13C1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3FB6"/>
    <w:rsid w:val="00A048AC"/>
    <w:rsid w:val="00A04E93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93E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75EB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B0D"/>
    <w:rsid w:val="00F6189D"/>
    <w:rsid w:val="00F6417E"/>
    <w:rsid w:val="00F65042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CB3ED6"/>
  <w15:docId w15:val="{64A50BC7-0ED2-45F1-BE33-6764E50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71D2-3F34-4789-9D00-847901E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2</cp:revision>
  <cp:lastPrinted>2021-06-03T16:17:00Z</cp:lastPrinted>
  <dcterms:created xsi:type="dcterms:W3CDTF">2022-04-07T21:24:00Z</dcterms:created>
  <dcterms:modified xsi:type="dcterms:W3CDTF">2022-04-07T21:24:00Z</dcterms:modified>
</cp:coreProperties>
</file>